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1276"/>
        <w:gridCol w:w="1719"/>
        <w:gridCol w:w="2960"/>
        <w:gridCol w:w="2832"/>
        <w:gridCol w:w="568"/>
        <w:gridCol w:w="1844"/>
        <w:gridCol w:w="2126"/>
        <w:gridCol w:w="2142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9"/>
            </w:tblGrid>
            <w:tr w:rsidR="00A93935" w:rsidRPr="00853062" w:rsidTr="00943AF2">
              <w:trPr>
                <w:trHeight w:val="100"/>
              </w:trPr>
              <w:tc>
                <w:tcPr>
                  <w:tcW w:w="15609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>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>В целях обеспечения основополагающих принципов и требований противодействия коррупции АО «К</w:t>
            </w:r>
            <w:r w:rsidR="00841642">
              <w:rPr>
                <w:rFonts w:eastAsia="SimSun"/>
                <w:b/>
                <w:color w:val="000000"/>
                <w:lang w:eastAsia="en-US"/>
              </w:rPr>
              <w:t>ИП «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>М</w:t>
            </w:r>
            <w:r w:rsidR="00841642">
              <w:rPr>
                <w:rFonts w:eastAsia="SimSun"/>
                <w:b/>
                <w:color w:val="000000"/>
                <w:lang w:eastAsia="en-US"/>
              </w:rPr>
              <w:t>астер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>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841642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 «К</w:t>
            </w:r>
            <w:r w:rsidR="00841642">
              <w:rPr>
                <w:rFonts w:eastAsia="Calibri"/>
                <w:color w:val="000000"/>
                <w:lang w:eastAsia="en-US"/>
              </w:rPr>
              <w:t>ИП «Мастер»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943AF2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84164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банка(-ов) и банковские реквизиты, которые будут использоваться по договору с 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841642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продукцию других компаний?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1906" w:type="pct"/>
            <w:gridSpan w:val="3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841642">
        <w:trPr>
          <w:trHeight w:val="64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94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</w:t>
            </w:r>
            <w:r w:rsidR="00943A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(СК),%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94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lastRenderedPageBreak/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2. Согласие физических лиц на обработку в ПАО «КАМАЗ»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3. Мне известно, что ПАО «КАМАЗ»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633590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633590" w:rsidRDefault="00633590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  <w:t>Обязательно поставить дату заполнения</w:t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sectPr w:rsidR="009A3F2B" w:rsidSect="00943AF2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633590"/>
    <w:rsid w:val="0072292E"/>
    <w:rsid w:val="007B61A6"/>
    <w:rsid w:val="00841642"/>
    <w:rsid w:val="0086286D"/>
    <w:rsid w:val="00943AF2"/>
    <w:rsid w:val="009A3F2B"/>
    <w:rsid w:val="009B5BE7"/>
    <w:rsid w:val="00A93935"/>
    <w:rsid w:val="00B24561"/>
    <w:rsid w:val="00BE555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kiselevaji</cp:lastModifiedBy>
  <cp:revision>2</cp:revision>
  <cp:lastPrinted>2016-10-13T08:56:00Z</cp:lastPrinted>
  <dcterms:created xsi:type="dcterms:W3CDTF">2017-06-19T13:59:00Z</dcterms:created>
  <dcterms:modified xsi:type="dcterms:W3CDTF">2017-06-19T13:59:00Z</dcterms:modified>
</cp:coreProperties>
</file>